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Эксергетическая температурная функция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термодинамической эффективности процессов трансформации тепла целесообразно использовать общий термодинамический метод анализа – эксергетический.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реальные процессы протекают в условиях взаимодействия с окружающей средой. Любые энергетические превращения энергии должны оцениваться с учетом влияния этих параметров.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Известно, что не всякая энергия может быть целиком пригодна для практического использования. С этой точки зрения во всех энергетических превращениях может использоваться энергия двух видов:</w:t>
      </w:r>
    </w:p>
    <w:p>
      <w:pPr>
        <w:pStyle w:val="1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Организованная (электрическая, механическая)</w:t>
      </w:r>
    </w:p>
    <w:p>
      <w:pPr>
        <w:pStyle w:val="1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Неорганизованная (тепловая, кинетическая энергия движения потока).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позиции закона сохранения энергии (первого начала термодинамики) оба вида энергий идентичны, но с позиции закона, определяющего превратимость видов энергии (второго начала термодинамики), эти энергии значительно различаются.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Ввиду этого, возникла необходимость введения эксергии – общей меры для всех видов энергии, способных при взаимодействии с окружающей средой с постоянными параметрами к преобразованию в другие виды организованной энергии.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Эксергия системы измеряется количеством механической или электрической (полностью превратимой энергии), которое может быть получено от системы в результате ее обратимого перехода из данного состояния в состояние равновесия с окружающей средой.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обратимых процессах (равновесные процессы, которые возможно осуществить в обратном направлении) эксергия постоянна, в необратимых (неравновесных процессах, реальных, протекающих самопроизвольно только в направлении равновесного состояния) она уменьшается. Это основное свойство позволяет использовать эксергию как меру обратимости процессов.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обратимого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заимодействия потока тепла с окружающей средой может быть представлен в Т, s-диаграмме посредством цикла Карно. В том случае, когда температура подвода тепла выше температуры окружающей среды, необходим прямой цикл, а при температуре ниже температуры окружающей среды – обратный.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Эксергия тепла отличается от теплового потока. При обратимом взаимодействии располагаемого количества тепла с окружающей средой может быть произведена работа, определяющая эксергию тепла. Отношение этих величин характеризует коэффициент работоспособности тепла (или термический КПД прямого цикла Карно).</w:t>
      </w:r>
    </w:p>
    <w:p>
      <w:pPr>
        <w:ind w:firstLine="567"/>
        <w:jc w:val="both"/>
        <w:rPr>
          <w:rFonts w:ascii="Times New Roman" w:hAnsi="Times New Roman" w:cs="Times New Roman" w:eastAsiaTheme="minorEastAsia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Коэффициент работоспособности тепла или э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ксергетическая температурная функция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определяет </w:t>
      </w:r>
      <w:r>
        <w:rPr>
          <w:rFonts w:ascii="Times New Roman" w:hAnsi="Times New Roman" w:cs="Times New Roman" w:eastAsiaTheme="minorEastAsia"/>
          <w:bCs/>
          <w:iCs/>
          <w:sz w:val="28"/>
          <w:szCs w:val="28"/>
        </w:rPr>
        <w:t>максимальное количество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работы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 w:eastAsiaTheme="minorEastAsia"/>
          <w:iCs/>
          <w:sz w:val="28"/>
          <w:szCs w:val="28"/>
        </w:rPr>
        <w:t>которое может быть получено при обратимом процессе при переходе тепла на температурный уровень окружающей среды.</w:t>
      </w:r>
    </w:p>
    <w:p>
      <w:pPr>
        <w:ind w:firstLine="567"/>
        <w:jc w:val="both"/>
        <w:rPr>
          <w:rFonts w:ascii="Times New Roman" w:hAnsi="Times New Roman" w:cs="Times New Roman" w:eastAsiaTheme="minorEastAsia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Как видно из уравнения, при To.c/T&gt;1 коэффициент &lt;0. Отрицательное значение этого коэффициента здесь указывает на то, что при обратимом переносе тепла от Т до То.с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sym w:font="Symbol" w:char="F03E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работа не получается, а затрачивается. Таким образом, при Т&gt;То.с знаки </w:t>
      </w:r>
      <m:oMath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τ</m:t>
            </m:r>
            <m:ctrlPr>
              <w:rPr>
                <w:rFonts w:ascii="Cambria Math" w:hAnsi="Cambria Math" w:cs="Times New Roman"/>
                <w:iCs/>
                <w:sz w:val="28"/>
                <w:szCs w:val="28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  <m:ctrlPr>
              <w:rPr>
                <w:rFonts w:ascii="Cambria Math" w:hAnsi="Cambria Math" w:cs="Times New Roman"/>
                <w:iCs/>
                <w:sz w:val="28"/>
                <w:szCs w:val="28"/>
                <w:lang w:val="en-US"/>
              </w:rPr>
            </m:ctrlPr>
          </m:sub>
        </m:sSub>
      </m:oMath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Q одинаковы, а при Т&lt;То.с различны: поток эксергии тепла направлен в сторону, противоположную направлению теплового потока.</w:t>
      </w:r>
    </w:p>
    <w:p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графика видно, что при температуре, стремящейся к бесконечности, разница между эксергией теплоты и работой становится несущественной. При этом поток теплоты может рассматриваться как </w:t>
      </w:r>
      <w:r>
        <w:rPr>
          <w:rFonts w:ascii="Times New Roman" w:hAnsi="Times New Roman" w:cs="Times New Roman"/>
          <w:i/>
          <w:sz w:val="28"/>
          <w:szCs w:val="28"/>
        </w:rPr>
        <w:t>поток высококачественной энергии, равносильный работе.</w:t>
      </w:r>
    </w:p>
    <w:p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Большая зона отрицательных значений функции соответствует относительно небольшому интервалу температур от нуля до 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>
        <w:rPr>
          <w:rFonts w:ascii="Times New Roman" w:hAnsi="Times New Roman" w:cs="Times New Roman"/>
          <w:sz w:val="28"/>
          <w:szCs w:val="28"/>
        </w:rPr>
        <w:t xml:space="preserve">, что отражает более высокую </w:t>
      </w:r>
      <w:r>
        <w:rPr>
          <w:rFonts w:ascii="Times New Roman" w:hAnsi="Times New Roman" w:cs="Times New Roman"/>
          <w:i/>
          <w:iCs/>
          <w:sz w:val="28"/>
          <w:szCs w:val="28"/>
        </w:rPr>
        <w:t>эксергетическую ценность потока теплоты</w:t>
      </w:r>
      <w:r>
        <w:rPr>
          <w:rFonts w:ascii="Times New Roman" w:hAnsi="Times New Roman" w:cs="Times New Roman"/>
          <w:sz w:val="28"/>
          <w:szCs w:val="28"/>
        </w:rPr>
        <w:t xml:space="preserve"> почти во всей зоне низких температур по сравнению с таким же потоком при высоких температурах.</w:t>
      </w:r>
    </w:p>
    <w:p>
      <w:pPr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Эксергетическая функция позволяет построить температурную шкалу, при использовании которой эксергия любого потока теплоты определяется эксергетической температурой. </w:t>
      </w:r>
    </w:p>
    <w:p>
      <w:pPr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Определим удельную эксергию потока вещества, т. е. работу, которую может произвести единица массы потока, например, 1 кг газа или пара с параметрами торможения р, Т,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s (давление, температура, удельные энтальпия и энтропия), при обратимом взаимодействии с окружающей средой.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Т, s-диаграмме показан один из возможных процессов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обратимого изменения параметров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потока газа от начального состояния 1 до состояния равновесия с окружающей средой 3. Под состоянием равновесия понимается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равенство давлений и температур рабочего тела и окружающей среды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Рассматриваемое взаимодействие газа с окружающей средой состоит из двух последовательных процессов: изоэнтропного расширения от давления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давления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о.с (участок 1-2) и изобарного процесса передачи тепла от газа ко вторичному рабочему агенту, совершающему работу в интервале температур газа и окружающей среды (участок 2-3).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Удельная работа, получаемая при рассматриваемом обратимом взаимодействии потока газа с окружающей средой, т. e. удельная эксергия, может быть представлена как сумма двух эксергий – процесса изоэнтропного расширения и изобарного охлаждения [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].</w:t>
      </w:r>
    </w:p>
    <w:p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Контрольные вопросы</w:t>
      </w:r>
    </w:p>
    <w:p>
      <w:pPr>
        <w:pStyle w:val="1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Что такое эксергия?</w:t>
      </w:r>
    </w:p>
    <w:p>
      <w:pPr>
        <w:pStyle w:val="1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Чем характеризуются обратимый и необратимый процессы?</w:t>
      </w:r>
    </w:p>
    <w:p>
      <w:pPr>
        <w:pStyle w:val="1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Что такое э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ксергетическая температурная функция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>
      <w:pPr>
        <w:pStyle w:val="1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Чем определяется температурная шкала?</w:t>
      </w:r>
    </w:p>
    <w:p>
      <w:pPr>
        <w:pStyle w:val="1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Как привести систему к состоянию равновесия?</w:t>
      </w:r>
    </w:p>
    <w:p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Список литературы</w:t>
      </w:r>
    </w:p>
    <w:p>
      <w:pPr>
        <w:pStyle w:val="1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Соколов Е. Я., Бродянский В. М. Энергетические основы трансформации тепла процессов охлаждения: Учеб. Пособие для вузов. – 2-е изд., перераб. – М.: Энергоиздат, 1981. – 320 с., ил.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>
      <w:pgSz w:w="11906" w:h="16838"/>
      <w:pgMar w:top="851" w:right="567" w:bottom="851" w:left="1134" w:header="680" w:footer="68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E36A1F"/>
    <w:multiLevelType w:val="multilevel"/>
    <w:tmpl w:val="0AE36A1F"/>
    <w:lvl w:ilvl="0" w:tentative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8465A2"/>
    <w:multiLevelType w:val="multilevel"/>
    <w:tmpl w:val="0C8465A2"/>
    <w:lvl w:ilvl="0" w:tentative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F7719C"/>
    <w:multiLevelType w:val="multilevel"/>
    <w:tmpl w:val="4CF7719C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F03"/>
    <w:rsid w:val="00011991"/>
    <w:rsid w:val="00031F03"/>
    <w:rsid w:val="00081471"/>
    <w:rsid w:val="000E1B8C"/>
    <w:rsid w:val="000E5F35"/>
    <w:rsid w:val="000F1DDE"/>
    <w:rsid w:val="001127C7"/>
    <w:rsid w:val="00195B10"/>
    <w:rsid w:val="001A3DC4"/>
    <w:rsid w:val="001B19FF"/>
    <w:rsid w:val="001D3A93"/>
    <w:rsid w:val="001F5634"/>
    <w:rsid w:val="002A6D1F"/>
    <w:rsid w:val="002B0E3E"/>
    <w:rsid w:val="002C42D7"/>
    <w:rsid w:val="002C5649"/>
    <w:rsid w:val="003763F5"/>
    <w:rsid w:val="003D10D9"/>
    <w:rsid w:val="003E5CFF"/>
    <w:rsid w:val="0043487E"/>
    <w:rsid w:val="004407F4"/>
    <w:rsid w:val="00457D7C"/>
    <w:rsid w:val="00492D8D"/>
    <w:rsid w:val="004F0AA4"/>
    <w:rsid w:val="004F2928"/>
    <w:rsid w:val="004F2F46"/>
    <w:rsid w:val="0054198B"/>
    <w:rsid w:val="00553332"/>
    <w:rsid w:val="005B438F"/>
    <w:rsid w:val="005D34D9"/>
    <w:rsid w:val="00670E4B"/>
    <w:rsid w:val="00726F88"/>
    <w:rsid w:val="007442D4"/>
    <w:rsid w:val="0075208B"/>
    <w:rsid w:val="007742AF"/>
    <w:rsid w:val="007A4358"/>
    <w:rsid w:val="008B2FB0"/>
    <w:rsid w:val="009168B6"/>
    <w:rsid w:val="0092106E"/>
    <w:rsid w:val="009540E4"/>
    <w:rsid w:val="00961C86"/>
    <w:rsid w:val="00A208D5"/>
    <w:rsid w:val="00AF12B4"/>
    <w:rsid w:val="00B00DCD"/>
    <w:rsid w:val="00B8328B"/>
    <w:rsid w:val="00B846F7"/>
    <w:rsid w:val="00B84F64"/>
    <w:rsid w:val="00BD0D39"/>
    <w:rsid w:val="00BE7B0D"/>
    <w:rsid w:val="00CB0ADC"/>
    <w:rsid w:val="00CD04BB"/>
    <w:rsid w:val="00D1015D"/>
    <w:rsid w:val="00DA1C4A"/>
    <w:rsid w:val="00E043EA"/>
    <w:rsid w:val="00E2190F"/>
    <w:rsid w:val="00E261AF"/>
    <w:rsid w:val="00EB2E5E"/>
    <w:rsid w:val="00F00CF9"/>
    <w:rsid w:val="00F52D82"/>
    <w:rsid w:val="00F659B8"/>
    <w:rsid w:val="00F672AC"/>
    <w:rsid w:val="00F70DC3"/>
    <w:rsid w:val="404F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Subtitle"/>
    <w:basedOn w:val="1"/>
    <w:next w:val="1"/>
    <w:link w:val="14"/>
    <w:qFormat/>
    <w:uiPriority w:val="11"/>
    <w:rPr>
      <w:rFonts w:eastAsiaTheme="minorEastAsia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7">
    <w:name w:val="Стиль мой"/>
    <w:basedOn w:val="2"/>
    <w:next w:val="2"/>
    <w:link w:val="8"/>
    <w:qFormat/>
    <w:uiPriority w:val="0"/>
    <w:pPr>
      <w:spacing w:line="276" w:lineRule="auto"/>
      <w:jc w:val="center"/>
    </w:pPr>
    <w:rPr>
      <w:rFonts w:ascii="Times New Roman" w:hAnsi="Times New Roman" w:cs="Times New Roman"/>
      <w:b/>
      <w:color w:val="000000" w:themeColor="text1"/>
      <w:szCs w:val="28"/>
      <w:lang w:eastAsia="ru-RU"/>
      <w14:textFill>
        <w14:solidFill>
          <w14:schemeClr w14:val="tx1"/>
        </w14:solidFill>
      </w14:textFill>
    </w:rPr>
  </w:style>
  <w:style w:type="character" w:customStyle="1" w:styleId="8">
    <w:name w:val="Стиль мой Знак"/>
    <w:basedOn w:val="4"/>
    <w:link w:val="7"/>
    <w:uiPriority w:val="0"/>
    <w:rPr>
      <w:rFonts w:ascii="Times New Roman" w:hAnsi="Times New Roman" w:cs="Times New Roman" w:eastAsiaTheme="majorEastAsia"/>
      <w:b/>
      <w:color w:val="000000" w:themeColor="text1"/>
      <w:sz w:val="32"/>
      <w:szCs w:val="28"/>
      <w:lang w:eastAsia="ru-RU"/>
      <w14:textFill>
        <w14:solidFill>
          <w14:schemeClr w14:val="tx1"/>
        </w14:solidFill>
      </w14:textFill>
    </w:rPr>
  </w:style>
  <w:style w:type="character" w:customStyle="1" w:styleId="9">
    <w:name w:val="Заголовок 1 Знак"/>
    <w:basedOn w:val="4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0">
    <w:name w:val="подстиль иой"/>
    <w:basedOn w:val="1"/>
    <w:link w:val="11"/>
    <w:qFormat/>
    <w:uiPriority w:val="0"/>
    <w:pPr>
      <w:spacing w:before="120" w:after="120" w:line="300" w:lineRule="auto"/>
      <w:jc w:val="both"/>
    </w:pPr>
    <w:rPr>
      <w:rFonts w:ascii="Times New Roman" w:hAnsi="Times New Roman" w:cs="Times New Roman" w:eastAsiaTheme="minorEastAsia"/>
      <w:b/>
      <w:sz w:val="28"/>
      <w:szCs w:val="28"/>
      <w:lang w:eastAsia="ru-RU"/>
    </w:rPr>
  </w:style>
  <w:style w:type="character" w:customStyle="1" w:styleId="11">
    <w:name w:val="подстиль иой Знак"/>
    <w:basedOn w:val="4"/>
    <w:link w:val="10"/>
    <w:uiPriority w:val="0"/>
    <w:rPr>
      <w:rFonts w:ascii="Times New Roman" w:hAnsi="Times New Roman" w:cs="Times New Roman" w:eastAsiaTheme="minorEastAsia"/>
      <w:b/>
      <w:sz w:val="28"/>
      <w:szCs w:val="28"/>
      <w:lang w:eastAsia="ru-RU"/>
    </w:rPr>
  </w:style>
  <w:style w:type="paragraph" w:customStyle="1" w:styleId="12">
    <w:name w:val="подстиль мой"/>
    <w:basedOn w:val="3"/>
    <w:link w:val="13"/>
    <w:qFormat/>
    <w:uiPriority w:val="0"/>
    <w:pPr>
      <w:spacing w:before="120" w:after="120" w:line="300" w:lineRule="auto"/>
      <w:jc w:val="center"/>
    </w:pPr>
    <w:rPr>
      <w:rFonts w:ascii="Times New Roman" w:hAnsi="Times New Roman" w:cs="Times New Roman"/>
      <w:b/>
      <w:color w:val="auto"/>
      <w:sz w:val="28"/>
      <w:szCs w:val="24"/>
      <w:lang w:eastAsia="ru-RU"/>
    </w:rPr>
  </w:style>
  <w:style w:type="character" w:customStyle="1" w:styleId="13">
    <w:name w:val="подстиль мой Знак"/>
    <w:basedOn w:val="4"/>
    <w:link w:val="12"/>
    <w:uiPriority w:val="0"/>
    <w:rPr>
      <w:rFonts w:ascii="Times New Roman" w:hAnsi="Times New Roman" w:cs="Times New Roman" w:eastAsiaTheme="majorEastAsia"/>
      <w:b/>
      <w:sz w:val="28"/>
      <w:szCs w:val="24"/>
      <w:lang w:eastAsia="ru-RU"/>
    </w:rPr>
  </w:style>
  <w:style w:type="character" w:customStyle="1" w:styleId="14">
    <w:name w:val="Подзаголовок Знак"/>
    <w:basedOn w:val="4"/>
    <w:link w:val="6"/>
    <w:qFormat/>
    <w:uiPriority w:val="11"/>
    <w:rPr>
      <w:rFonts w:eastAsiaTheme="minorEastAsia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">
    <w:name w:val="Заголовок 2 Знак"/>
    <w:basedOn w:val="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styleId="16">
    <w:name w:val="Placeholder Text"/>
    <w:basedOn w:val="4"/>
    <w:semiHidden/>
    <w:qFormat/>
    <w:uiPriority w:val="99"/>
    <w:rPr>
      <w:color w:val="808080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768</Words>
  <Characters>4382</Characters>
  <Lines>36</Lines>
  <Paragraphs>10</Paragraphs>
  <TotalTime>646</TotalTime>
  <ScaleCrop>false</ScaleCrop>
  <LinksUpToDate>false</LinksUpToDate>
  <CharactersWithSpaces>5140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2023-09-30T11:13:00Z</dcterms:created>
  <dc:creator>Никита Бударин</dc:creator>
  <cp:lastModifiedBy>User</cp:lastModifiedBy>
  <dcterms:modified xsi:type="dcterms:W3CDTF">2024-03-26T08:40:56Z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EE2A58AE05E6416D8247B9FBC25BFBC3_13</vt:lpwstr>
  </property>
</Properties>
</file>